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F0B5" w14:textId="2E1D8773" w:rsidR="009915B7" w:rsidRPr="00124B8E" w:rsidRDefault="009915B7" w:rsidP="00124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4B8E">
        <w:rPr>
          <w:rFonts w:ascii="Times New Roman" w:hAnsi="Times New Roman" w:cs="Times New Roman"/>
          <w:b/>
          <w:sz w:val="24"/>
          <w:szCs w:val="24"/>
        </w:rPr>
        <w:t>ORIENTAÇÕES:</w:t>
      </w:r>
    </w:p>
    <w:p w14:paraId="6A7D3BC2" w14:textId="5FB8D662" w:rsidR="00241C27" w:rsidRPr="00124B8E" w:rsidRDefault="002E62DA" w:rsidP="00124B8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consta no Edital </w:t>
      </w:r>
      <w:r w:rsidR="00AB6961" w:rsidRPr="00AB6961">
        <w:rPr>
          <w:rFonts w:ascii="Times New Roman" w:eastAsia="Times New Roman" w:hAnsi="Times New Roman" w:cs="Times New Roman"/>
          <w:sz w:val="24"/>
          <w:szCs w:val="24"/>
        </w:rPr>
        <w:t>01/202</w:t>
      </w:r>
      <w:r w:rsidR="002800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6961" w:rsidRPr="00AB6961">
        <w:rPr>
          <w:rFonts w:ascii="Times New Roman" w:eastAsia="Times New Roman" w:hAnsi="Times New Roman" w:cs="Times New Roman"/>
          <w:sz w:val="24"/>
          <w:szCs w:val="24"/>
        </w:rPr>
        <w:t>/PGA/CCA/UFSC</w:t>
      </w:r>
      <w:r w:rsidR="009428DF">
        <w:rPr>
          <w:rFonts w:ascii="Times New Roman" w:eastAsia="Times New Roman" w:hAnsi="Times New Roman" w:cs="Times New Roman"/>
          <w:sz w:val="24"/>
          <w:szCs w:val="24"/>
        </w:rPr>
        <w:t xml:space="preserve">, a prova é </w:t>
      </w:r>
      <w:r w:rsidR="009428DF" w:rsidRPr="009428DF">
        <w:rPr>
          <w:rFonts w:ascii="Times New Roman" w:eastAsia="Times New Roman" w:hAnsi="Times New Roman" w:cs="Times New Roman"/>
          <w:b/>
          <w:sz w:val="24"/>
          <w:szCs w:val="24"/>
        </w:rPr>
        <w:t>individu</w:t>
      </w:r>
      <w:r w:rsidR="00241C27" w:rsidRPr="009428DF">
        <w:rPr>
          <w:rFonts w:ascii="Times New Roman" w:eastAsia="Times New Roman" w:hAnsi="Times New Roman" w:cs="Times New Roman"/>
          <w:b/>
          <w:sz w:val="24"/>
          <w:szCs w:val="24"/>
        </w:rPr>
        <w:t>al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28DF">
        <w:rPr>
          <w:rFonts w:ascii="Times New Roman" w:eastAsia="Times New Roman" w:hAnsi="Times New Roman" w:cs="Times New Roman"/>
          <w:sz w:val="24"/>
          <w:szCs w:val="24"/>
        </w:rPr>
        <w:t>devendo ser respondida no número de linhas delimitadas para cada questão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85270" w14:textId="4768B56D" w:rsidR="009915B7" w:rsidRPr="00124B8E" w:rsidRDefault="0025246F" w:rsidP="00124B8E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O tempo para a resolução da 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 xml:space="preserve">prova 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>s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 xml:space="preserve">erá 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de até 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 xml:space="preserve">4 horas. Assim, você deverá 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iniciar a prova às </w:t>
      </w:r>
      <w:r w:rsidRPr="009428DF">
        <w:rPr>
          <w:rFonts w:ascii="Times New Roman" w:eastAsia="Times New Roman" w:hAnsi="Times New Roman" w:cs="Times New Roman"/>
          <w:b/>
          <w:sz w:val="24"/>
          <w:szCs w:val="24"/>
        </w:rPr>
        <w:t xml:space="preserve">14h00 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428DF">
        <w:rPr>
          <w:rFonts w:ascii="Times New Roman" w:eastAsia="Times New Roman" w:hAnsi="Times New Roman" w:cs="Times New Roman"/>
          <w:sz w:val="24"/>
          <w:szCs w:val="24"/>
        </w:rPr>
        <w:t xml:space="preserve">enviá-la para o e-mail </w:t>
      </w:r>
      <w:hyperlink r:id="rId8" w:history="1">
        <w:r w:rsidR="009428DF" w:rsidRPr="009428DF">
          <w:rPr>
            <w:rStyle w:val="Hyperlink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selecao.ppga@contato.ufsc.br</w:t>
        </w:r>
      </w:hyperlink>
      <w:r w:rsidR="00942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6">
        <w:rPr>
          <w:rFonts w:ascii="Times New Roman" w:eastAsia="Times New Roman" w:hAnsi="Times New Roman" w:cs="Times New Roman"/>
          <w:sz w:val="24"/>
          <w:szCs w:val="24"/>
        </w:rPr>
        <w:t xml:space="preserve">(sem acentos) 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>até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 às </w:t>
      </w:r>
      <w:r w:rsidR="00241C27" w:rsidRPr="009428D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70C89" w:rsidRPr="009428D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241C27" w:rsidRPr="009428D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>, quando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693C27" w:rsidRPr="00124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>encerra</w:t>
      </w:r>
      <w:r w:rsidRPr="00124B8E">
        <w:rPr>
          <w:rFonts w:ascii="Times New Roman" w:eastAsia="Times New Roman" w:hAnsi="Times New Roman" w:cs="Times New Roman"/>
          <w:sz w:val="24"/>
          <w:szCs w:val="24"/>
        </w:rPr>
        <w:t xml:space="preserve"> o tempo de </w:t>
      </w:r>
      <w:r w:rsidR="00241C27" w:rsidRPr="00124B8E">
        <w:rPr>
          <w:rFonts w:ascii="Times New Roman" w:eastAsia="Times New Roman" w:hAnsi="Times New Roman" w:cs="Times New Roman"/>
          <w:sz w:val="24"/>
          <w:szCs w:val="24"/>
        </w:rPr>
        <w:t>realização da prova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7CAF">
        <w:rPr>
          <w:rFonts w:ascii="Times New Roman" w:eastAsia="Times New Roman" w:hAnsi="Times New Roman" w:cs="Times New Roman"/>
          <w:sz w:val="24"/>
          <w:szCs w:val="24"/>
        </w:rPr>
        <w:t xml:space="preserve"> Envie em formato WORD ou PDF.</w:t>
      </w:r>
    </w:p>
    <w:p w14:paraId="178F687C" w14:textId="0976618E" w:rsidR="009915B7" w:rsidRPr="00124B8E" w:rsidRDefault="009428DF" w:rsidP="00124B8E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Coloque </w:t>
      </w:r>
      <w:r w:rsidRPr="009428DF">
        <w:rPr>
          <w:rFonts w:ascii="Times New Roman" w:eastAsia="Times New Roman" w:hAnsi="Times New Roman" w:cs="Times New Roman"/>
          <w:b/>
          <w:sz w:val="24"/>
          <w:szCs w:val="24"/>
        </w:rPr>
        <w:t>apenas</w:t>
      </w:r>
      <w:r w:rsidR="00E37410" w:rsidRPr="009428DF">
        <w:rPr>
          <w:rFonts w:ascii="Times New Roman" w:eastAsia="Times New Roman" w:hAnsi="Times New Roman" w:cs="Times New Roman"/>
          <w:b/>
          <w:sz w:val="24"/>
          <w:szCs w:val="24"/>
        </w:rPr>
        <w:t xml:space="preserve"> seu n</w:t>
      </w:r>
      <w:r w:rsidR="0025246F" w:rsidRPr="009428DF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 w:rsidR="00E37410" w:rsidRPr="009428DF">
        <w:rPr>
          <w:rFonts w:ascii="Times New Roman" w:eastAsia="Times New Roman" w:hAnsi="Times New Roman" w:cs="Times New Roman"/>
          <w:b/>
          <w:sz w:val="24"/>
          <w:szCs w:val="24"/>
        </w:rPr>
        <w:t>mero de inscrição</w:t>
      </w:r>
      <w:r w:rsidR="00E37410" w:rsidRPr="00124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5B7" w:rsidRPr="00124B8E">
        <w:rPr>
          <w:rFonts w:ascii="Times New Roman" w:eastAsia="Times New Roman" w:hAnsi="Times New Roman" w:cs="Times New Roman"/>
          <w:sz w:val="24"/>
          <w:szCs w:val="24"/>
        </w:rPr>
        <w:t>na prova no local indicado.</w:t>
      </w:r>
      <w:r w:rsidR="009915B7" w:rsidRPr="00124B8E">
        <w:rPr>
          <w:rFonts w:ascii="Times New Roman" w:hAnsi="Times New Roman" w:cs="Times New Roman"/>
          <w:sz w:val="24"/>
          <w:szCs w:val="24"/>
        </w:rPr>
        <w:t xml:space="preserve"> </w:t>
      </w:r>
      <w:r w:rsidR="0025246F" w:rsidRPr="004B6BD6">
        <w:rPr>
          <w:rFonts w:ascii="Times New Roman" w:hAnsi="Times New Roman" w:cs="Times New Roman"/>
          <w:b/>
          <w:sz w:val="24"/>
          <w:szCs w:val="24"/>
        </w:rPr>
        <w:t>O Candidato n</w:t>
      </w:r>
      <w:r w:rsidR="009915B7" w:rsidRPr="004B6BD6">
        <w:rPr>
          <w:rFonts w:ascii="Times New Roman" w:hAnsi="Times New Roman" w:cs="Times New Roman"/>
          <w:b/>
          <w:sz w:val="24"/>
          <w:szCs w:val="24"/>
        </w:rPr>
        <w:t>ão deverá fazer qualquer identificação pessoal em outro local da prova</w:t>
      </w:r>
      <w:r w:rsidR="0025246F" w:rsidRPr="004B6BD6">
        <w:rPr>
          <w:rFonts w:ascii="Times New Roman" w:hAnsi="Times New Roman" w:cs="Times New Roman"/>
          <w:b/>
          <w:sz w:val="24"/>
          <w:szCs w:val="24"/>
        </w:rPr>
        <w:t>, sob a pena de ser eliminado</w:t>
      </w:r>
      <w:r w:rsidR="009915B7" w:rsidRPr="004B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3B832995" w14:textId="77777777" w:rsidR="00AB2E2E" w:rsidRDefault="00AB2E2E" w:rsidP="00124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97171" w14:textId="77777777" w:rsidR="004B6BD6" w:rsidRPr="00124B8E" w:rsidRDefault="004B6BD6" w:rsidP="00124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C42F3" w14:textId="73CD182D" w:rsidR="0090341D" w:rsidRPr="00124B8E" w:rsidRDefault="00AB2E2E" w:rsidP="00124B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B8E">
        <w:rPr>
          <w:rFonts w:ascii="Times New Roman" w:eastAsia="Times New Roman" w:hAnsi="Times New Roman" w:cs="Times New Roman"/>
          <w:b/>
          <w:sz w:val="24"/>
          <w:szCs w:val="24"/>
        </w:rPr>
        <w:t xml:space="preserve">OBS 1: </w:t>
      </w:r>
      <w:r w:rsidR="0090341D" w:rsidRPr="00124B8E">
        <w:rPr>
          <w:rFonts w:ascii="Times New Roman" w:eastAsia="Times New Roman" w:hAnsi="Times New Roman" w:cs="Times New Roman"/>
          <w:sz w:val="24"/>
          <w:szCs w:val="24"/>
        </w:rPr>
        <w:t xml:space="preserve">A prova é composta por </w:t>
      </w:r>
      <w:r w:rsidR="002F22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246F" w:rsidRPr="00124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41D" w:rsidRPr="00124B8E">
        <w:rPr>
          <w:rFonts w:ascii="Times New Roman" w:eastAsia="Times New Roman" w:hAnsi="Times New Roman" w:cs="Times New Roman"/>
          <w:sz w:val="24"/>
          <w:szCs w:val="24"/>
        </w:rPr>
        <w:t>questões dissertativas</w:t>
      </w:r>
      <w:r w:rsidR="002E62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6AFD">
        <w:rPr>
          <w:rFonts w:ascii="Times New Roman" w:eastAsia="Times New Roman" w:hAnsi="Times New Roman" w:cs="Times New Roman"/>
          <w:sz w:val="24"/>
          <w:szCs w:val="24"/>
        </w:rPr>
        <w:t>Todas as questões têm</w:t>
      </w:r>
      <w:r w:rsidR="002E62DA">
        <w:rPr>
          <w:rFonts w:ascii="Times New Roman" w:eastAsia="Times New Roman" w:hAnsi="Times New Roman" w:cs="Times New Roman"/>
          <w:sz w:val="24"/>
          <w:szCs w:val="24"/>
        </w:rPr>
        <w:t xml:space="preserve"> o mesmo peso.</w:t>
      </w:r>
    </w:p>
    <w:p w14:paraId="162BDE7C" w14:textId="77777777" w:rsidR="00AB2E2E" w:rsidRPr="00124B8E" w:rsidRDefault="00AB2E2E" w:rsidP="00124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0F88A" w14:textId="4F94C45C" w:rsidR="009915B7" w:rsidRPr="00124B8E" w:rsidRDefault="00AB2E2E" w:rsidP="00124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OBS 2: </w:t>
      </w:r>
      <w:r w:rsidRPr="00124B8E">
        <w:rPr>
          <w:rFonts w:ascii="Times New Roman" w:hAnsi="Times New Roman" w:cs="Times New Roman"/>
          <w:sz w:val="24"/>
          <w:szCs w:val="24"/>
          <w:shd w:val="clear" w:color="auto" w:fill="FFFFFF"/>
        </w:rPr>
        <w:t>A banca examinadora avaliará e pontuará o candidato com base nos seguintes critérios: domínio e precisão do conhecimento na área objeto do processo seletivo; coerência na construção do argumento</w:t>
      </w:r>
      <w:r w:rsidR="00645535" w:rsidRPr="00124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poder de síntese </w:t>
      </w:r>
      <w:r w:rsidRPr="00124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precisão lógica do raciocínio; forma de expressão, considerando a fluência discursiva em </w:t>
      </w:r>
      <w:r w:rsidR="0025246F" w:rsidRPr="00124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termos de correção linguística, </w:t>
      </w:r>
      <w:r w:rsidRPr="00124B8E">
        <w:rPr>
          <w:rFonts w:ascii="Times New Roman" w:hAnsi="Times New Roman" w:cs="Times New Roman"/>
          <w:sz w:val="24"/>
          <w:szCs w:val="24"/>
          <w:shd w:val="clear" w:color="auto" w:fill="FFFFFF"/>
        </w:rPr>
        <w:t>coesão e coerência.</w:t>
      </w:r>
    </w:p>
    <w:p w14:paraId="6790FA38" w14:textId="77777777" w:rsidR="0090341D" w:rsidRPr="00124B8E" w:rsidRDefault="0090341D" w:rsidP="00124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5F59B" w14:textId="45A96B9D" w:rsidR="00917E46" w:rsidRDefault="00917E46" w:rsidP="00124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OBS </w:t>
      </w:r>
      <w:r w:rsidR="002E6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E00E9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Observe atentamente o </w:t>
      </w:r>
      <w:r w:rsidR="008E00E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número de linhas máximo</w:t>
      </w:r>
      <w:r w:rsidR="008E00E9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permitido para </w:t>
      </w:r>
      <w:r w:rsidR="00725372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>resposta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5372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após o enunciado de </w:t>
      </w:r>
      <w:r w:rsidR="008E00E9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>cada questão</w:t>
      </w:r>
      <w:r w:rsidR="004B6BD6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>, conforme linhas enumeradas contidas</w:t>
      </w:r>
      <w:r w:rsidR="002E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após o enunciado destas</w:t>
      </w:r>
      <w:r w:rsidR="00725372" w:rsidRPr="004B6B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5535" w:rsidRPr="004B6BD6">
        <w:rPr>
          <w:rFonts w:ascii="Times New Roman" w:hAnsi="Times New Roman" w:cs="Times New Roman"/>
          <w:sz w:val="24"/>
          <w:szCs w:val="24"/>
        </w:rPr>
        <w:t xml:space="preserve"> </w:t>
      </w:r>
      <w:r w:rsidR="004B6BD6" w:rsidRPr="004B6BD6">
        <w:rPr>
          <w:rFonts w:ascii="Times New Roman" w:hAnsi="Times New Roman" w:cs="Times New Roman"/>
          <w:b/>
          <w:sz w:val="24"/>
          <w:szCs w:val="24"/>
        </w:rPr>
        <w:t>Respeite a</w:t>
      </w:r>
      <w:r w:rsidR="008721F9" w:rsidRPr="004B6BD6">
        <w:rPr>
          <w:rFonts w:ascii="Times New Roman" w:hAnsi="Times New Roman" w:cs="Times New Roman"/>
          <w:b/>
          <w:sz w:val="24"/>
          <w:szCs w:val="24"/>
        </w:rPr>
        <w:t xml:space="preserve"> formatação</w:t>
      </w:r>
      <w:r w:rsidR="008721F9" w:rsidRPr="004B6BD6">
        <w:rPr>
          <w:rFonts w:ascii="Times New Roman" w:hAnsi="Times New Roman" w:cs="Times New Roman"/>
          <w:sz w:val="24"/>
          <w:szCs w:val="24"/>
        </w:rPr>
        <w:t xml:space="preserve"> </w:t>
      </w:r>
      <w:r w:rsidR="004B6BD6" w:rsidRPr="004B6BD6">
        <w:rPr>
          <w:rFonts w:ascii="Times New Roman" w:hAnsi="Times New Roman" w:cs="Times New Roman"/>
          <w:sz w:val="24"/>
          <w:szCs w:val="24"/>
        </w:rPr>
        <w:t xml:space="preserve">para inserir suas respostas </w:t>
      </w:r>
      <w:r w:rsidR="008721F9" w:rsidRPr="004B6BD6">
        <w:rPr>
          <w:rFonts w:ascii="Times New Roman" w:hAnsi="Times New Roman" w:cs="Times New Roman"/>
          <w:sz w:val="24"/>
          <w:szCs w:val="24"/>
        </w:rPr>
        <w:t>(</w:t>
      </w:r>
      <w:r w:rsidR="004B6BD6" w:rsidRPr="004B6BD6">
        <w:rPr>
          <w:rFonts w:ascii="Times New Roman" w:hAnsi="Times New Roman" w:cs="Times New Roman"/>
          <w:sz w:val="24"/>
          <w:szCs w:val="24"/>
        </w:rPr>
        <w:t>Times New Roman</w:t>
      </w:r>
      <w:r w:rsidR="008721F9" w:rsidRPr="004B6BD6">
        <w:rPr>
          <w:rFonts w:ascii="Times New Roman" w:hAnsi="Times New Roman" w:cs="Times New Roman"/>
          <w:sz w:val="24"/>
          <w:szCs w:val="24"/>
        </w:rPr>
        <w:t xml:space="preserve"> 12, </w:t>
      </w:r>
      <w:r w:rsidR="004B6BD6" w:rsidRPr="004B6BD6">
        <w:rPr>
          <w:rFonts w:ascii="Times New Roman" w:hAnsi="Times New Roman" w:cs="Times New Roman"/>
          <w:sz w:val="24"/>
          <w:szCs w:val="24"/>
        </w:rPr>
        <w:t xml:space="preserve">espaçamento entre linhas </w:t>
      </w:r>
      <w:r w:rsidR="008721F9" w:rsidRPr="004B6BD6">
        <w:rPr>
          <w:rFonts w:ascii="Times New Roman" w:hAnsi="Times New Roman" w:cs="Times New Roman"/>
          <w:sz w:val="24"/>
          <w:szCs w:val="24"/>
        </w:rPr>
        <w:t>1,5)</w:t>
      </w:r>
      <w:r w:rsidR="004B6BD6" w:rsidRPr="004B6BD6">
        <w:rPr>
          <w:rFonts w:ascii="Times New Roman" w:hAnsi="Times New Roman" w:cs="Times New Roman"/>
          <w:sz w:val="24"/>
          <w:szCs w:val="24"/>
        </w:rPr>
        <w:t>.</w:t>
      </w:r>
    </w:p>
    <w:p w14:paraId="7E60CCF3" w14:textId="77777777" w:rsidR="00CA4EF9" w:rsidRDefault="00CA4EF9" w:rsidP="00124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CB24" w14:textId="60251D07" w:rsidR="00CA4EF9" w:rsidRPr="00124B8E" w:rsidRDefault="00CA4EF9" w:rsidP="00124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AF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="00A52DAF" w:rsidRPr="00A52DA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73D3" w:rsidRPr="00A52DAF">
        <w:rPr>
          <w:rFonts w:ascii="Times New Roman" w:hAnsi="Times New Roman" w:cs="Times New Roman"/>
          <w:b/>
          <w:bCs/>
          <w:sz w:val="24"/>
          <w:szCs w:val="24"/>
        </w:rPr>
        <w:t xml:space="preserve"> 4:</w:t>
      </w:r>
      <w:r w:rsidR="00FE73D3">
        <w:rPr>
          <w:rFonts w:ascii="Times New Roman" w:hAnsi="Times New Roman" w:cs="Times New Roman"/>
          <w:sz w:val="24"/>
          <w:szCs w:val="24"/>
        </w:rPr>
        <w:t xml:space="preserve"> A banca examinadora utilizará ferramentas para identificar o uso de Inteligência Artificial</w:t>
      </w:r>
      <w:r w:rsidR="00C40120">
        <w:rPr>
          <w:rFonts w:ascii="Times New Roman" w:hAnsi="Times New Roman" w:cs="Times New Roman"/>
          <w:sz w:val="24"/>
          <w:szCs w:val="24"/>
        </w:rPr>
        <w:t xml:space="preserve"> (IA)</w:t>
      </w:r>
      <w:r w:rsidR="00FE73D3">
        <w:rPr>
          <w:rFonts w:ascii="Times New Roman" w:hAnsi="Times New Roman" w:cs="Times New Roman"/>
          <w:sz w:val="24"/>
          <w:szCs w:val="24"/>
        </w:rPr>
        <w:t xml:space="preserve"> na ela</w:t>
      </w:r>
      <w:r w:rsidR="00C40120">
        <w:rPr>
          <w:rFonts w:ascii="Times New Roman" w:hAnsi="Times New Roman" w:cs="Times New Roman"/>
          <w:sz w:val="24"/>
          <w:szCs w:val="24"/>
        </w:rPr>
        <w:t>boração das respostas das questões. Em sendo identificado o uso d</w:t>
      </w:r>
      <w:r w:rsidR="00A52DAF">
        <w:rPr>
          <w:rFonts w:ascii="Times New Roman" w:hAnsi="Times New Roman" w:cs="Times New Roman"/>
          <w:sz w:val="24"/>
          <w:szCs w:val="24"/>
        </w:rPr>
        <w:t>e</w:t>
      </w:r>
      <w:r w:rsidR="00C40120">
        <w:rPr>
          <w:rFonts w:ascii="Times New Roman" w:hAnsi="Times New Roman" w:cs="Times New Roman"/>
          <w:sz w:val="24"/>
          <w:szCs w:val="24"/>
        </w:rPr>
        <w:t xml:space="preserve"> IA, será atribuída no</w:t>
      </w:r>
      <w:r w:rsidR="00A52DAF">
        <w:rPr>
          <w:rFonts w:ascii="Times New Roman" w:hAnsi="Times New Roman" w:cs="Times New Roman"/>
          <w:sz w:val="24"/>
          <w:szCs w:val="24"/>
        </w:rPr>
        <w:t>ta</w:t>
      </w:r>
      <w:r w:rsidR="00C40120">
        <w:rPr>
          <w:rFonts w:ascii="Times New Roman" w:hAnsi="Times New Roman" w:cs="Times New Roman"/>
          <w:sz w:val="24"/>
          <w:szCs w:val="24"/>
        </w:rPr>
        <w:t xml:space="preserve"> “zero” ao candidat</w:t>
      </w:r>
      <w:r w:rsidR="00A52DAF">
        <w:rPr>
          <w:rFonts w:ascii="Times New Roman" w:hAnsi="Times New Roman" w:cs="Times New Roman"/>
          <w:sz w:val="24"/>
          <w:szCs w:val="24"/>
        </w:rPr>
        <w:t>o(a) e o mesmo(a) será desclassificado(a) do processo seletivo.</w:t>
      </w:r>
    </w:p>
    <w:p w14:paraId="458D4C2F" w14:textId="77777777" w:rsidR="00211ACD" w:rsidRPr="00124B8E" w:rsidRDefault="00211ACD" w:rsidP="00124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733D" w14:textId="5490424D" w:rsidR="009915B7" w:rsidRPr="00124B8E" w:rsidRDefault="009915B7" w:rsidP="00124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8E">
        <w:rPr>
          <w:rFonts w:ascii="Times New Roman" w:hAnsi="Times New Roman" w:cs="Times New Roman"/>
          <w:b/>
          <w:sz w:val="24"/>
          <w:szCs w:val="24"/>
        </w:rPr>
        <w:t>QUESTÃO 1</w:t>
      </w:r>
      <w:r w:rsidR="002E62DA">
        <w:rPr>
          <w:rFonts w:ascii="Times New Roman" w:hAnsi="Times New Roman" w:cs="Times New Roman"/>
          <w:b/>
          <w:sz w:val="24"/>
          <w:szCs w:val="24"/>
        </w:rPr>
        <w:t>:</w:t>
      </w:r>
    </w:p>
    <w:p w14:paraId="0B21FDBF" w14:textId="0CFE3981" w:rsidR="004401DE" w:rsidRPr="00124B8E" w:rsidRDefault="004401DE" w:rsidP="0012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DE">
        <w:rPr>
          <w:rFonts w:ascii="Times New Roman" w:hAnsi="Times New Roman" w:cs="Times New Roman"/>
          <w:sz w:val="24"/>
          <w:szCs w:val="24"/>
        </w:rPr>
        <w:t>Nos últimos anos temos acompanhado o aumento dos eventos climáticos extremos e outros problemas decorrentes da falta de sustentabilidade das atividades agrícolas e de outras ações voltadas ao desenvolvimento do meio rural. Apresente uma proposta sucinta de pesquisa relacionada às Linhas de pesquisa do Programa (</w:t>
      </w:r>
      <w:hyperlink r:id="rId9" w:history="1">
        <w:r w:rsidR="00D83A38" w:rsidRPr="000470B3">
          <w:rPr>
            <w:rStyle w:val="Hyperlink"/>
            <w:rFonts w:ascii="Times New Roman" w:hAnsi="Times New Roman" w:cs="Times New Roman"/>
            <w:sz w:val="24"/>
            <w:szCs w:val="24"/>
          </w:rPr>
          <w:t>https://ppgagro.posgrad.ufsc.br/aclp-mestrado/</w:t>
        </w:r>
      </w:hyperlink>
      <w:r w:rsidRPr="004401DE">
        <w:rPr>
          <w:rFonts w:ascii="Times New Roman" w:hAnsi="Times New Roman" w:cs="Times New Roman"/>
          <w:sz w:val="24"/>
          <w:szCs w:val="24"/>
        </w:rPr>
        <w:t xml:space="preserve">) e que contemple medidas que </w:t>
      </w:r>
      <w:r w:rsidRPr="004401DE">
        <w:rPr>
          <w:rFonts w:ascii="Times New Roman" w:hAnsi="Times New Roman" w:cs="Times New Roman"/>
          <w:sz w:val="24"/>
          <w:szCs w:val="24"/>
        </w:rPr>
        <w:lastRenderedPageBreak/>
        <w:t>possam, ao longo do tempo, minimizar os efeitos dos eventos climáticos extremos e/ou atacar questões correlacionadas à sustentabilidade do espaço rural, citando as ODS passíveis de serem atendidas, conforme as 17 ODS da Agenda 2030 da ONU. Em sua resposta, os seguintes itens devem ser contextualizados: Introdução/Hipótese, Objetivo, Metodologia (sintetizada), Resultados esperados. Na Introdução, destaque o problema de pesquisa a ser investigado.</w:t>
      </w:r>
    </w:p>
    <w:p w14:paraId="7B5C90CA" w14:textId="77777777" w:rsidR="00D57FE7" w:rsidRPr="00124B8E" w:rsidRDefault="00D57FE7" w:rsidP="0012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3DD19" w14:textId="36D7394D" w:rsidR="009915B7" w:rsidRPr="00124B8E" w:rsidRDefault="009915B7" w:rsidP="00AA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BD6">
        <w:rPr>
          <w:rFonts w:ascii="Times New Roman" w:hAnsi="Times New Roman" w:cs="Times New Roman"/>
          <w:b/>
          <w:sz w:val="24"/>
          <w:szCs w:val="24"/>
        </w:rPr>
        <w:t>QUESTÃO 2:</w:t>
      </w:r>
      <w:r w:rsidR="002E6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34D1CE" w14:textId="48647F92" w:rsidR="00FF7C00" w:rsidRPr="00CB2D17" w:rsidRDefault="00F30257" w:rsidP="00AA4615">
      <w:pPr>
        <w:pStyle w:val="Ttulo1"/>
        <w:shd w:val="clear" w:color="auto" w:fill="FFFFFF"/>
        <w:spacing w:before="0" w:beforeAutospacing="0" w:after="0" w:line="360" w:lineRule="auto"/>
        <w:jc w:val="both"/>
        <w:textAlignment w:val="baseline"/>
        <w:rPr>
          <w:color w:val="1F2123"/>
          <w:sz w:val="24"/>
          <w:szCs w:val="24"/>
        </w:rPr>
      </w:pPr>
      <w:r>
        <w:rPr>
          <w:b w:val="0"/>
          <w:bCs w:val="0"/>
          <w:sz w:val="24"/>
          <w:szCs w:val="24"/>
          <w:lang w:val="pt-BR"/>
        </w:rPr>
        <w:t>De acordo com a publicação “</w:t>
      </w:r>
      <w:proofErr w:type="spellStart"/>
      <w:r>
        <w:rPr>
          <w:b w:val="0"/>
          <w:bCs w:val="0"/>
          <w:sz w:val="24"/>
          <w:szCs w:val="24"/>
          <w:lang w:val="pt-BR"/>
        </w:rPr>
        <w:t>Latin</w:t>
      </w:r>
      <w:proofErr w:type="spellEnd"/>
      <w:r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5965E3">
        <w:rPr>
          <w:b w:val="0"/>
          <w:bCs w:val="0"/>
          <w:sz w:val="24"/>
          <w:szCs w:val="24"/>
          <w:lang w:val="pt-BR"/>
        </w:rPr>
        <w:t>A</w:t>
      </w:r>
      <w:r>
        <w:rPr>
          <w:b w:val="0"/>
          <w:bCs w:val="0"/>
          <w:sz w:val="24"/>
          <w:szCs w:val="24"/>
          <w:lang w:val="pt-BR"/>
        </w:rPr>
        <w:t>merica</w:t>
      </w:r>
      <w:proofErr w:type="spellEnd"/>
      <w:r w:rsidR="000F6E48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0F6E48">
        <w:rPr>
          <w:b w:val="0"/>
          <w:bCs w:val="0"/>
          <w:sz w:val="24"/>
          <w:szCs w:val="24"/>
          <w:lang w:val="pt-BR"/>
        </w:rPr>
        <w:t>and</w:t>
      </w:r>
      <w:proofErr w:type="spellEnd"/>
      <w:r w:rsidR="000F6E48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0F6E48">
        <w:rPr>
          <w:b w:val="0"/>
          <w:bCs w:val="0"/>
          <w:sz w:val="24"/>
          <w:szCs w:val="24"/>
          <w:lang w:val="pt-BR"/>
        </w:rPr>
        <w:t>the</w:t>
      </w:r>
      <w:proofErr w:type="spellEnd"/>
      <w:r w:rsidR="000F6E48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0F6E48">
        <w:rPr>
          <w:b w:val="0"/>
          <w:bCs w:val="0"/>
          <w:sz w:val="24"/>
          <w:szCs w:val="24"/>
          <w:lang w:val="pt-BR"/>
        </w:rPr>
        <w:t>Caribean</w:t>
      </w:r>
      <w:proofErr w:type="spellEnd"/>
      <w:r w:rsidR="000F6E48">
        <w:rPr>
          <w:b w:val="0"/>
          <w:bCs w:val="0"/>
          <w:sz w:val="24"/>
          <w:szCs w:val="24"/>
          <w:lang w:val="pt-BR"/>
        </w:rPr>
        <w:t xml:space="preserve"> </w:t>
      </w:r>
      <w:r w:rsidR="005965E3">
        <w:rPr>
          <w:b w:val="0"/>
          <w:bCs w:val="0"/>
          <w:sz w:val="24"/>
          <w:szCs w:val="24"/>
          <w:lang w:val="pt-BR"/>
        </w:rPr>
        <w:t>r</w:t>
      </w:r>
      <w:r w:rsidR="009E0E3A">
        <w:rPr>
          <w:b w:val="0"/>
          <w:bCs w:val="0"/>
          <w:sz w:val="24"/>
          <w:szCs w:val="24"/>
          <w:lang w:val="pt-BR"/>
        </w:rPr>
        <w:t xml:space="preserve">egional </w:t>
      </w:r>
      <w:r w:rsidR="005965E3">
        <w:rPr>
          <w:b w:val="0"/>
          <w:bCs w:val="0"/>
          <w:sz w:val="24"/>
          <w:szCs w:val="24"/>
          <w:lang w:val="pt-BR"/>
        </w:rPr>
        <w:t>o</w:t>
      </w:r>
      <w:r w:rsidR="009E0E3A">
        <w:rPr>
          <w:b w:val="0"/>
          <w:bCs w:val="0"/>
          <w:sz w:val="24"/>
          <w:szCs w:val="24"/>
          <w:lang w:val="pt-BR"/>
        </w:rPr>
        <w:t>ver</w:t>
      </w:r>
      <w:r w:rsidR="005965E3">
        <w:rPr>
          <w:b w:val="0"/>
          <w:bCs w:val="0"/>
          <w:sz w:val="24"/>
          <w:szCs w:val="24"/>
          <w:lang w:val="pt-BR"/>
        </w:rPr>
        <w:t xml:space="preserve">view </w:t>
      </w:r>
      <w:proofErr w:type="spellStart"/>
      <w:r w:rsidR="005965E3">
        <w:rPr>
          <w:b w:val="0"/>
          <w:bCs w:val="0"/>
          <w:sz w:val="24"/>
          <w:szCs w:val="24"/>
          <w:lang w:val="pt-BR"/>
        </w:rPr>
        <w:t>of</w:t>
      </w:r>
      <w:proofErr w:type="spellEnd"/>
      <w:r w:rsidR="005965E3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5965E3">
        <w:rPr>
          <w:b w:val="0"/>
          <w:bCs w:val="0"/>
          <w:sz w:val="24"/>
          <w:szCs w:val="24"/>
          <w:lang w:val="pt-BR"/>
        </w:rPr>
        <w:t>food</w:t>
      </w:r>
      <w:proofErr w:type="spellEnd"/>
      <w:r w:rsidR="005965E3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5965E3">
        <w:rPr>
          <w:b w:val="0"/>
          <w:bCs w:val="0"/>
          <w:sz w:val="24"/>
          <w:szCs w:val="24"/>
          <w:lang w:val="pt-BR"/>
        </w:rPr>
        <w:t>security</w:t>
      </w:r>
      <w:proofErr w:type="spellEnd"/>
      <w:r w:rsidR="005965E3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5965E3">
        <w:rPr>
          <w:b w:val="0"/>
          <w:bCs w:val="0"/>
          <w:sz w:val="24"/>
          <w:szCs w:val="24"/>
          <w:lang w:val="pt-BR"/>
        </w:rPr>
        <w:t>a</w:t>
      </w:r>
      <w:r w:rsidR="005965E3" w:rsidRPr="005965E3">
        <w:rPr>
          <w:b w:val="0"/>
          <w:bCs w:val="0"/>
          <w:sz w:val="24"/>
          <w:szCs w:val="24"/>
          <w:lang w:val="pt-BR"/>
        </w:rPr>
        <w:t>nd</w:t>
      </w:r>
      <w:proofErr w:type="spellEnd"/>
      <w:r w:rsidR="005965E3" w:rsidRPr="005965E3">
        <w:rPr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="005965E3" w:rsidRPr="005965E3">
        <w:rPr>
          <w:b w:val="0"/>
          <w:bCs w:val="0"/>
          <w:sz w:val="24"/>
          <w:szCs w:val="24"/>
          <w:lang w:val="pt-BR"/>
        </w:rPr>
        <w:t>nutrition</w:t>
      </w:r>
      <w:proofErr w:type="spellEnd"/>
      <w:r w:rsidR="005965E3" w:rsidRPr="005965E3">
        <w:rPr>
          <w:b w:val="0"/>
          <w:bCs w:val="0"/>
          <w:sz w:val="24"/>
          <w:szCs w:val="24"/>
          <w:lang w:val="pt-BR"/>
        </w:rPr>
        <w:t>” (</w:t>
      </w:r>
      <w:hyperlink r:id="rId10" w:history="1">
        <w:r w:rsidR="005965E3" w:rsidRPr="005965E3">
          <w:rPr>
            <w:rStyle w:val="Hyperlink"/>
            <w:b w:val="0"/>
            <w:bCs w:val="0"/>
            <w:sz w:val="24"/>
            <w:szCs w:val="24"/>
          </w:rPr>
          <w:t>https://openknowledge.fao.org/handle/20.500.14283/cd3877en</w:t>
        </w:r>
      </w:hyperlink>
      <w:r w:rsidR="005965E3" w:rsidRPr="005965E3">
        <w:rPr>
          <w:b w:val="0"/>
          <w:bCs w:val="0"/>
          <w:sz w:val="24"/>
          <w:szCs w:val="24"/>
        </w:rPr>
        <w:t>)</w:t>
      </w:r>
      <w:r w:rsidR="005965E3">
        <w:rPr>
          <w:b w:val="0"/>
          <w:bCs w:val="0"/>
          <w:sz w:val="24"/>
          <w:szCs w:val="24"/>
        </w:rPr>
        <w:t>, a</w:t>
      </w:r>
      <w:r w:rsidR="00C919C4" w:rsidRPr="00C919C4">
        <w:rPr>
          <w:b w:val="0"/>
          <w:bCs w:val="0"/>
          <w:sz w:val="24"/>
          <w:szCs w:val="24"/>
          <w:lang w:val="pt-BR"/>
        </w:rPr>
        <w:t xml:space="preserve"> frequência de eventos climáticos extremos aumentou consideravelmente nas últimas décadas na América Latina e no Caribe</w:t>
      </w:r>
      <w:r w:rsidR="008221CB">
        <w:rPr>
          <w:b w:val="0"/>
          <w:bCs w:val="0"/>
          <w:sz w:val="24"/>
          <w:szCs w:val="24"/>
          <w:lang w:val="pt-BR"/>
        </w:rPr>
        <w:t>, conforme figura</w:t>
      </w:r>
      <w:r w:rsidR="00854AA5">
        <w:rPr>
          <w:b w:val="0"/>
          <w:bCs w:val="0"/>
          <w:sz w:val="24"/>
          <w:szCs w:val="24"/>
          <w:lang w:val="pt-BR"/>
        </w:rPr>
        <w:t xml:space="preserve"> 1</w:t>
      </w:r>
      <w:r w:rsidR="008221CB">
        <w:rPr>
          <w:b w:val="0"/>
          <w:bCs w:val="0"/>
          <w:sz w:val="24"/>
          <w:szCs w:val="24"/>
          <w:lang w:val="pt-BR"/>
        </w:rPr>
        <w:t xml:space="preserve"> abaixo.</w:t>
      </w:r>
    </w:p>
    <w:p w14:paraId="39AA4A3C" w14:textId="2C6F3EED" w:rsidR="00C02466" w:rsidRDefault="00C02466" w:rsidP="00C024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CDD447" wp14:editId="0E3C471A">
            <wp:extent cx="6332220" cy="3439795"/>
            <wp:effectExtent l="0" t="0" r="0" b="8255"/>
            <wp:docPr id="379437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375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B001" w14:textId="59206708" w:rsidR="00C02466" w:rsidRDefault="00854AA5" w:rsidP="00854A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1.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extreme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54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AA5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899DF" w14:textId="77777777" w:rsidR="00C02466" w:rsidRDefault="00C02466" w:rsidP="00D56C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13F24" w14:textId="77777777" w:rsidR="00AA4615" w:rsidRDefault="00AA4615" w:rsidP="00D56C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7EBDD" w14:textId="77777777" w:rsidR="00B30E09" w:rsidRDefault="00B30E09" w:rsidP="00D56C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9FA9D" w14:textId="77777777" w:rsidR="00AA4615" w:rsidRDefault="00AA4615" w:rsidP="00D56C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A9993" w14:textId="69BC1778" w:rsidR="00CB2D17" w:rsidRPr="00CB2D17" w:rsidRDefault="00CB2D17" w:rsidP="00D56C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2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Pergunta-se:</w:t>
      </w:r>
    </w:p>
    <w:p w14:paraId="559C47F6" w14:textId="77777777" w:rsidR="00DF713B" w:rsidRDefault="00854AA5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B2D17" w:rsidRPr="00CB2D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2D17" w:rsidRPr="00CB2D17">
        <w:rPr>
          <w:rFonts w:ascii="Times New Roman" w:eastAsia="Times New Roman" w:hAnsi="Times New Roman" w:cs="Times New Roman"/>
          <w:sz w:val="24"/>
          <w:szCs w:val="24"/>
        </w:rPr>
        <w:t>nterprete a figura acima</w:t>
      </w:r>
      <w:r w:rsidR="00AA4615">
        <w:rPr>
          <w:rFonts w:ascii="Times New Roman" w:eastAsia="Times New Roman" w:hAnsi="Times New Roman" w:cs="Times New Roman"/>
          <w:sz w:val="24"/>
          <w:szCs w:val="24"/>
        </w:rPr>
        <w:t xml:space="preserve"> descrevendo as principais muda</w:t>
      </w:r>
      <w:r w:rsidR="00452BF8">
        <w:rPr>
          <w:rFonts w:ascii="Times New Roman" w:eastAsia="Times New Roman" w:hAnsi="Times New Roman" w:cs="Times New Roman"/>
          <w:sz w:val="24"/>
          <w:szCs w:val="24"/>
        </w:rPr>
        <w:t>nças climáticas que ocorreram no período destacado no gráfico</w:t>
      </w:r>
      <w:r w:rsidR="003960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6CFCEC" w14:textId="77777777" w:rsidR="0039600F" w:rsidRDefault="0039600F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094A9" w14:textId="217809EA" w:rsidR="00383E0F" w:rsidRDefault="0039600F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010419" w:rsidRPr="00010419">
        <w:rPr>
          <w:rFonts w:ascii="Times New Roman" w:eastAsia="Times New Roman" w:hAnsi="Times New Roman" w:cs="Times New Roman"/>
          <w:sz w:val="24"/>
          <w:szCs w:val="24"/>
        </w:rPr>
        <w:t>Na publicação mencionada, o texto “Governança para segurança alimentar e nutricional”, conforme reproduzido abaixo, traz elementos sobre processos e mecanismos para tomada de decisões na implantação de ações concretas. Faça a interpretação desse texto, de forma resumida, abordando esses elementos. NÃO SERÃO ACEITAS TRADUÇÕES, faça a sua interpretação do conteúdo.</w:t>
      </w:r>
    </w:p>
    <w:p w14:paraId="508FF6F2" w14:textId="77777777" w:rsidR="008E6C9D" w:rsidRDefault="008E6C9D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ECB68" w14:textId="2E776ABD" w:rsidR="00D90022" w:rsidRDefault="008E6C9D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9D">
        <w:rPr>
          <w:rFonts w:ascii="Times New Roman" w:eastAsia="Times New Roman" w:hAnsi="Times New Roman" w:cs="Times New Roman"/>
          <w:sz w:val="24"/>
          <w:szCs w:val="24"/>
        </w:rPr>
        <w:t>GOVERNANCE FOR FOOD SECURITY AND NUTRITION</w:t>
      </w:r>
    </w:p>
    <w:p w14:paraId="70DE9040" w14:textId="58145240" w:rsidR="00D90022" w:rsidRPr="00D90022" w:rsidRDefault="00D90022" w:rsidP="00D900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processes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actors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coordinate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interests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implemented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behalf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involves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set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processes,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mechanisms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managed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regional,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subregional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subnational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(territorial)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5D442" w14:textId="77777777" w:rsidR="002A2FB9" w:rsidRDefault="00D90022" w:rsidP="00D900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essential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as it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implies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countries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policies,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– in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protect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prevent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malnutrition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facilitating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diets.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accelerating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agrifood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resilience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ensuring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financial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achieving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AB58F" w14:textId="242200E5" w:rsidR="00D90022" w:rsidRDefault="00D90022" w:rsidP="00D900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Governments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play a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role in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improve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regulatory</w:t>
      </w:r>
      <w:proofErr w:type="spellEnd"/>
      <w:r w:rsid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frameworks, policies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eradicating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hunger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reducing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malnutrition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facilitate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allocation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budgets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investments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ministries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sectors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transformation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9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022">
        <w:rPr>
          <w:rFonts w:ascii="Times New Roman" w:eastAsia="Times New Roman" w:hAnsi="Times New Roman" w:cs="Times New Roman"/>
          <w:sz w:val="24"/>
          <w:szCs w:val="24"/>
        </w:rPr>
        <w:t>agrifood</w:t>
      </w:r>
      <w:proofErr w:type="spellEnd"/>
      <w:r w:rsid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eastAsia="Times New Roman" w:hAnsi="Times New Roman" w:cs="Times New Roman"/>
          <w:sz w:val="24"/>
          <w:szCs w:val="24"/>
        </w:rPr>
        <w:t>systems.</w:t>
      </w:r>
    </w:p>
    <w:p w14:paraId="326CF02A" w14:textId="77777777" w:rsidR="002A2FB9" w:rsidRDefault="002A2FB9" w:rsidP="002A2F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safeguarding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democratic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peaceful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stable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enabling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feed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dignity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requires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equitable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fostering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inclusive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decision-making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processes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involve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Peoples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forging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public-private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partnerships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mechanisms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accountability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C7C8E" w14:textId="2CD53E4B" w:rsidR="002A2FB9" w:rsidRDefault="002A2FB9" w:rsidP="002A2F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F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organizational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common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(for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Sovereignty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[CONASSAN]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Dominican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committees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commissions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Belize*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[CONSEA]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boards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secretariats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Secretariat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Presidency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[SESAN] in Guatemala,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Panama’s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Secretariat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[SENAPAN]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Chile’s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Secretariat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Living System).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coordinating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implementing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policies.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advisory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high-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designing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policies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realization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encouraging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DEFD8" w14:textId="6D897CA1" w:rsidR="002A2FB9" w:rsidRPr="002A2FB9" w:rsidRDefault="002A2FB9" w:rsidP="002A2F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achieve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decentralization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objectives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accelerate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2030 Agenda, local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committees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Colombia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are territorial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committees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departamental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Guatemala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Municipal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(COMUSAN),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Costa Rica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are Cantonal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Councils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Security (COSAN).</w:t>
      </w:r>
    </w:p>
    <w:p w14:paraId="202EA35E" w14:textId="79877633" w:rsidR="002A2FB9" w:rsidRPr="002A2FB9" w:rsidRDefault="002A2FB9" w:rsidP="002A2F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essential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repurposing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establishing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enhancing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mechanisms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institutions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fragmented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implementing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promote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diferente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sectors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achieve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more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coherent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integrated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policies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agrifood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systems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transformation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CE9EFC" w14:textId="138B3EA8" w:rsidR="00D90022" w:rsidRDefault="002A2FB9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variability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extremes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negative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four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dimensions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heterogeneously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affecting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requiring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multisectoral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response.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requires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ministries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agencies,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actors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role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agrifood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systems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transformation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Investing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adopting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multisectoral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achieve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efficient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, inclusive,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resiliente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agrifood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systems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guarantee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FB9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2A2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20228" w14:textId="705CF19E" w:rsidR="00383E0F" w:rsidRPr="00682C9A" w:rsidRDefault="00383E0F" w:rsidP="00682C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3E0F" w:rsidRPr="00682C9A" w:rsidSect="008E00E9">
          <w:headerReference w:type="default" r:id="rId12"/>
          <w:pgSz w:w="12240" w:h="15840"/>
          <w:pgMar w:top="1077" w:right="1134" w:bottom="1077" w:left="1134" w:header="720" w:footer="720" w:gutter="0"/>
          <w:cols w:space="720"/>
          <w:docGrid w:linePitch="360"/>
        </w:sectPr>
      </w:pPr>
    </w:p>
    <w:p w14:paraId="2203970B" w14:textId="27872061" w:rsidR="008E00E9" w:rsidRPr="001234A1" w:rsidRDefault="001234A1" w:rsidP="00123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34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As próximas páginas são destinadas as respostas das questões. Apenas se identifique pelo número de sua inscrição. Não coloque seu nome em nenhum lugar deste documento.</w:t>
      </w:r>
    </w:p>
    <w:p w14:paraId="32777BA9" w14:textId="77777777" w:rsidR="008E00E9" w:rsidRDefault="008E00E9" w:rsidP="00124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AA908" w14:textId="77777777" w:rsidR="008E00E9" w:rsidRDefault="008E00E9" w:rsidP="00124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4DCDA" w14:textId="77777777" w:rsidR="001234A1" w:rsidRDefault="001234A1" w:rsidP="00124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234A1" w:rsidSect="008E00E9">
          <w:pgSz w:w="12240" w:h="15840"/>
          <w:pgMar w:top="1077" w:right="1134" w:bottom="1077" w:left="1134" w:header="720" w:footer="720" w:gutter="0"/>
          <w:cols w:space="720"/>
          <w:docGrid w:linePitch="360"/>
        </w:sectPr>
      </w:pPr>
    </w:p>
    <w:p w14:paraId="6582CDF3" w14:textId="77777777" w:rsidR="00725372" w:rsidRDefault="008E00E9" w:rsidP="001234A1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lastRenderedPageBreak/>
        <w:t>N</w:t>
      </w:r>
      <w:r w:rsidRPr="00124B8E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. de inscrição do candidato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:                                         </w:t>
      </w:r>
    </w:p>
    <w:p w14:paraId="3EAA5714" w14:textId="3A36F784" w:rsidR="008E00E9" w:rsidRDefault="008E00E9" w:rsidP="001234A1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Resposta da Questão 1</w:t>
      </w:r>
      <w:r w:rsidR="00B30E0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 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30E0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até 60 linhas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:</w:t>
      </w:r>
    </w:p>
    <w:p w14:paraId="1C5020CB" w14:textId="6719C601" w:rsidR="008E00E9" w:rsidRPr="00124B8E" w:rsidRDefault="008E00E9" w:rsidP="00124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607D8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BA7E253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A9A45CE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B74B24C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6E8EBDF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0AD90D1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D9994B8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7EB14CE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08A2B5C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FAE1A1A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52C1B54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8215516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2A289E8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0915795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2D9C1D9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6EE900E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919240E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489050D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793A700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67A9EB0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926B129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C6748F7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166E1C1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2EF8188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948FEC5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062A687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39B7683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E1E67E4" w14:textId="77777777" w:rsidR="008E00E9" w:rsidRDefault="008E00E9" w:rsidP="008E00E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0265FC1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E48FB42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F836660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54920A7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301E69F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B14C5C9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9F7384A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F57E22F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538043C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4FF04A1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C0B9735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14621A7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5A100D4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EA17EAD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A80CCDA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0FF738C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6E872CE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A94DC75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C4AEB50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5F6DA31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876D14A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892ED64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7C76827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27DD2B2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354FF41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0986846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3ECEFAD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3493D00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6129BFF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DF0801D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C48FD31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121B362" w14:textId="77777777" w:rsidR="001234A1" w:rsidRDefault="001234A1" w:rsidP="008E00E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  <w:sectPr w:rsidR="001234A1" w:rsidSect="001234A1">
          <w:pgSz w:w="12240" w:h="15840" w:code="1"/>
          <w:pgMar w:top="1077" w:right="1134" w:bottom="851" w:left="1134" w:header="720" w:footer="720" w:gutter="0"/>
          <w:lnNumType w:countBy="1" w:restart="continuous"/>
          <w:cols w:space="720"/>
          <w:docGrid w:linePitch="360"/>
        </w:sectPr>
      </w:pPr>
    </w:p>
    <w:p w14:paraId="603746D0" w14:textId="77777777" w:rsidR="001234A1" w:rsidRDefault="001234A1" w:rsidP="001234A1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N</w:t>
      </w:r>
      <w:r w:rsidRPr="00124B8E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. de inscrição do candidato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:                                         </w:t>
      </w:r>
    </w:p>
    <w:p w14:paraId="43A474D3" w14:textId="5073A681" w:rsidR="001234A1" w:rsidRDefault="001234A1" w:rsidP="001234A1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Resposta da Questão 2</w:t>
      </w:r>
      <w:r w:rsidR="00B30E0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a 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30E0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até </w:t>
      </w:r>
      <w:r w:rsidR="00B30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30 </w:t>
      </w:r>
      <w:r w:rsidR="00B30E0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linhas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:</w:t>
      </w:r>
    </w:p>
    <w:p w14:paraId="1722A5A3" w14:textId="77777777" w:rsidR="001234A1" w:rsidRPr="00124B8E" w:rsidRDefault="001234A1" w:rsidP="00123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90FAB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31AE87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A54F2CC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7F36695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FB3403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AB4436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08A4E5D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4ED0300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3990033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FA97F4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4842C46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DA3215D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643E5D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5D663DF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CC21CE9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DDBC148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292A832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F4B531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7C06E4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C538578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B3400B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50D630D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D9D9E19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2C6FDA5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06FD979C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49ADE80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FAB42C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582D1418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B04C4A3" w14:textId="77777777" w:rsidR="001378E5" w:rsidRDefault="001378E5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187BBE9" w14:textId="77777777" w:rsidR="001378E5" w:rsidRDefault="001378E5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  <w:sectPr w:rsidR="001378E5" w:rsidSect="00BE7530">
          <w:headerReference w:type="default" r:id="rId13"/>
          <w:pgSz w:w="12240" w:h="15840" w:code="1"/>
          <w:pgMar w:top="1077" w:right="1134" w:bottom="851" w:left="1134" w:header="720" w:footer="720" w:gutter="0"/>
          <w:lnNumType w:countBy="1" w:restart="newSection"/>
          <w:cols w:space="720"/>
          <w:docGrid w:linePitch="360"/>
        </w:sectPr>
      </w:pPr>
    </w:p>
    <w:p w14:paraId="49DA15C5" w14:textId="77777777" w:rsidR="005A6454" w:rsidRDefault="005A6454" w:rsidP="005A6454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N</w:t>
      </w:r>
      <w:r w:rsidRPr="00124B8E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. de inscrição do candidato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:                                         </w:t>
      </w:r>
    </w:p>
    <w:p w14:paraId="4E81FD42" w14:textId="2173B6FE" w:rsidR="005A6454" w:rsidRDefault="005A6454" w:rsidP="005A6454">
      <w:pPr>
        <w:suppressLineNumber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Resposta da Questão 2</w:t>
      </w:r>
      <w:r w:rsidR="001378E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b</w:t>
      </w:r>
      <w:r w:rsidR="00B30E0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 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30E0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até </w:t>
      </w:r>
      <w:r w:rsidR="00B30E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 </w:t>
      </w:r>
      <w:r w:rsidR="00B30E09" w:rsidRPr="004B6B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linhas</w:t>
      </w:r>
      <w:r w:rsidR="00B30E0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:</w:t>
      </w:r>
    </w:p>
    <w:p w14:paraId="549CEAAA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2E36F13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A28F449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03059D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9F2F488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89BC911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B7D6BD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59EE8B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C5213CF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3CEE4E8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3308A06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82BD7A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04FDFD5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EEC9EE4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69851B7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C83BEDC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53DCE9E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791E233" w14:textId="77777777" w:rsidR="001234A1" w:rsidRDefault="001234A1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C472F15" w14:textId="77777777" w:rsidR="00BE7530" w:rsidRDefault="00BE7530" w:rsidP="001234A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155CE57" w14:textId="77777777" w:rsidR="00BE7530" w:rsidRDefault="00BE7530" w:rsidP="00BE7530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sectPr w:rsidR="00BE7530" w:rsidSect="00BE7530">
      <w:pgSz w:w="12240" w:h="15840" w:code="1"/>
      <w:pgMar w:top="1077" w:right="1134" w:bottom="851" w:left="1134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CE128" w14:textId="77777777" w:rsidR="00C76FCA" w:rsidRDefault="00C76FCA" w:rsidP="009915B7">
      <w:pPr>
        <w:spacing w:after="0" w:line="240" w:lineRule="auto"/>
      </w:pPr>
      <w:r>
        <w:separator/>
      </w:r>
    </w:p>
  </w:endnote>
  <w:endnote w:type="continuationSeparator" w:id="0">
    <w:p w14:paraId="2D4BEBB6" w14:textId="77777777" w:rsidR="00C76FCA" w:rsidRDefault="00C76FCA" w:rsidP="0099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AB804" w14:textId="77777777" w:rsidR="00C76FCA" w:rsidRDefault="00C76FCA" w:rsidP="009915B7">
      <w:pPr>
        <w:spacing w:after="0" w:line="240" w:lineRule="auto"/>
      </w:pPr>
      <w:r>
        <w:separator/>
      </w:r>
    </w:p>
  </w:footnote>
  <w:footnote w:type="continuationSeparator" w:id="0">
    <w:p w14:paraId="613A4077" w14:textId="77777777" w:rsidR="00C76FCA" w:rsidRDefault="00C76FCA" w:rsidP="0099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3487" w14:textId="5D8D5EB4" w:rsidR="009915B7" w:rsidRDefault="009915B7" w:rsidP="009915B7">
    <w:pPr>
      <w:pStyle w:val="Cabealho"/>
      <w:jc w:val="center"/>
    </w:pPr>
    <w:r w:rsidRPr="001C5AC7">
      <w:t xml:space="preserve">Processo Seletivo </w:t>
    </w:r>
    <w:r>
      <w:t xml:space="preserve">ingresso </w:t>
    </w:r>
    <w:r w:rsidR="002E62DA">
      <w:t>202</w:t>
    </w:r>
    <w:r w:rsidR="006C4DCF">
      <w:t>5</w:t>
    </w:r>
    <w:r w:rsidRPr="001C5AC7">
      <w:t xml:space="preserve"> </w:t>
    </w:r>
  </w:p>
  <w:p w14:paraId="656CCD92" w14:textId="77777777" w:rsidR="009915B7" w:rsidRDefault="009915B7" w:rsidP="009915B7">
    <w:pPr>
      <w:pStyle w:val="Cabealho"/>
      <w:jc w:val="center"/>
    </w:pPr>
    <w:r w:rsidRPr="001C5AC7">
      <w:t xml:space="preserve">Programa de Pós-Graduação em Agroecossistemas – UFSC </w:t>
    </w:r>
  </w:p>
  <w:p w14:paraId="1A175287" w14:textId="66683AA7" w:rsidR="009915B7" w:rsidRPr="001C5AC7" w:rsidRDefault="00AB6961" w:rsidP="009915B7">
    <w:pPr>
      <w:pStyle w:val="Cabealho"/>
      <w:jc w:val="center"/>
    </w:pPr>
    <w:r>
      <w:t>1</w:t>
    </w:r>
    <w:r w:rsidR="006C4DCF">
      <w:t>6</w:t>
    </w:r>
    <w:r w:rsidR="002510FF">
      <w:t xml:space="preserve"> </w:t>
    </w:r>
    <w:r w:rsidR="009915B7" w:rsidRPr="001C5AC7">
      <w:t xml:space="preserve">de </w:t>
    </w:r>
    <w:r w:rsidR="002E62DA">
      <w:t>maio</w:t>
    </w:r>
    <w:r w:rsidR="009915B7" w:rsidRPr="001C5AC7">
      <w:t xml:space="preserve"> de 20</w:t>
    </w:r>
    <w:r w:rsidR="00725372">
      <w:t>2</w:t>
    </w:r>
    <w:r w:rsidR="006C4DCF">
      <w:t>5</w:t>
    </w:r>
    <w:r w:rsidR="009915B7" w:rsidRPr="001C5AC7">
      <w:t xml:space="preserve"> </w:t>
    </w:r>
    <w:r w:rsidR="009915B7">
      <w:t xml:space="preserve">- </w:t>
    </w:r>
    <w:r w:rsidR="009915B7" w:rsidRPr="001C5AC7">
      <w:t>Prova Escrita</w:t>
    </w:r>
  </w:p>
  <w:p w14:paraId="0BC5D286" w14:textId="77777777" w:rsidR="009915B7" w:rsidRPr="009915B7" w:rsidRDefault="009915B7">
    <w:pPr>
      <w:pStyle w:val="Cabealho"/>
    </w:pPr>
  </w:p>
  <w:p w14:paraId="3F2A0B1D" w14:textId="77777777" w:rsidR="009915B7" w:rsidRPr="009915B7" w:rsidRDefault="009915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05E31" w14:textId="645113D6" w:rsidR="008E00E9" w:rsidRDefault="008E00E9" w:rsidP="009915B7">
    <w:pPr>
      <w:pStyle w:val="Cabealho"/>
      <w:jc w:val="center"/>
    </w:pPr>
    <w:r w:rsidRPr="001C5AC7">
      <w:t xml:space="preserve">Processo Seletivo </w:t>
    </w:r>
    <w:r w:rsidR="009343F3">
      <w:t>ingresso 202</w:t>
    </w:r>
    <w:r w:rsidR="00420A97">
      <w:t>5</w:t>
    </w:r>
    <w:r w:rsidRPr="001C5AC7">
      <w:t xml:space="preserve"> </w:t>
    </w:r>
  </w:p>
  <w:p w14:paraId="086A7919" w14:textId="77777777" w:rsidR="008E00E9" w:rsidRDefault="008E00E9" w:rsidP="009915B7">
    <w:pPr>
      <w:pStyle w:val="Cabealho"/>
      <w:jc w:val="center"/>
    </w:pPr>
    <w:r w:rsidRPr="001C5AC7">
      <w:t xml:space="preserve">Programa de Pós-Graduação em Agroecossistemas – UFSC </w:t>
    </w:r>
  </w:p>
  <w:p w14:paraId="77B47677" w14:textId="0B55A047" w:rsidR="008E00E9" w:rsidRPr="001C5AC7" w:rsidRDefault="00420A97" w:rsidP="009915B7">
    <w:pPr>
      <w:pStyle w:val="Cabealho"/>
      <w:jc w:val="center"/>
    </w:pPr>
    <w:r>
      <w:t>16</w:t>
    </w:r>
    <w:r w:rsidR="008E00E9">
      <w:t xml:space="preserve"> </w:t>
    </w:r>
    <w:r w:rsidR="008E00E9" w:rsidRPr="001C5AC7">
      <w:t xml:space="preserve">de </w:t>
    </w:r>
    <w:r w:rsidR="009343F3">
      <w:t>maio de 202</w:t>
    </w:r>
    <w:r>
      <w:t>5</w:t>
    </w:r>
    <w:r w:rsidR="008E00E9" w:rsidRPr="001C5AC7">
      <w:t xml:space="preserve"> </w:t>
    </w:r>
    <w:r w:rsidR="008E00E9">
      <w:t xml:space="preserve">- </w:t>
    </w:r>
    <w:r w:rsidR="008E00E9" w:rsidRPr="001C5AC7">
      <w:t>Prova Escrita</w:t>
    </w:r>
  </w:p>
  <w:p w14:paraId="6131B0E2" w14:textId="77777777" w:rsidR="008E00E9" w:rsidRPr="009915B7" w:rsidRDefault="008E00E9">
    <w:pPr>
      <w:pStyle w:val="Cabealho"/>
    </w:pPr>
  </w:p>
  <w:p w14:paraId="4A5BBF78" w14:textId="77777777" w:rsidR="008E00E9" w:rsidRPr="009915B7" w:rsidRDefault="008E00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E02"/>
    <w:multiLevelType w:val="multilevel"/>
    <w:tmpl w:val="4304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B05AB"/>
    <w:multiLevelType w:val="hybridMultilevel"/>
    <w:tmpl w:val="251891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0F93"/>
    <w:multiLevelType w:val="hybridMultilevel"/>
    <w:tmpl w:val="3CC47F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4755"/>
    <w:multiLevelType w:val="hybridMultilevel"/>
    <w:tmpl w:val="808014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C7B"/>
    <w:multiLevelType w:val="hybridMultilevel"/>
    <w:tmpl w:val="7096C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B6E"/>
    <w:multiLevelType w:val="hybridMultilevel"/>
    <w:tmpl w:val="BD32C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NDEwsbSwNDAzNjBT0lEKTi0uzszPAykwrgUAeWDjqCwAAAA="/>
  </w:docVars>
  <w:rsids>
    <w:rsidRoot w:val="00CD71C4"/>
    <w:rsid w:val="00002F84"/>
    <w:rsid w:val="00010419"/>
    <w:rsid w:val="00014146"/>
    <w:rsid w:val="00041630"/>
    <w:rsid w:val="00057CFD"/>
    <w:rsid w:val="00082F57"/>
    <w:rsid w:val="000862B4"/>
    <w:rsid w:val="00086AB0"/>
    <w:rsid w:val="000A28BE"/>
    <w:rsid w:val="000C1BB5"/>
    <w:rsid w:val="000D5DEA"/>
    <w:rsid w:val="000D6EED"/>
    <w:rsid w:val="000F6E48"/>
    <w:rsid w:val="001234A1"/>
    <w:rsid w:val="00123668"/>
    <w:rsid w:val="00124B8E"/>
    <w:rsid w:val="001378E5"/>
    <w:rsid w:val="00147C79"/>
    <w:rsid w:val="00170C89"/>
    <w:rsid w:val="001B56D4"/>
    <w:rsid w:val="001C4B2F"/>
    <w:rsid w:val="001D1957"/>
    <w:rsid w:val="00211ACD"/>
    <w:rsid w:val="00214718"/>
    <w:rsid w:val="00220946"/>
    <w:rsid w:val="00224B01"/>
    <w:rsid w:val="002415FF"/>
    <w:rsid w:val="00241C27"/>
    <w:rsid w:val="002510FF"/>
    <w:rsid w:val="002512E1"/>
    <w:rsid w:val="0025246F"/>
    <w:rsid w:val="00256FE0"/>
    <w:rsid w:val="00263EFB"/>
    <w:rsid w:val="0028002A"/>
    <w:rsid w:val="00293E99"/>
    <w:rsid w:val="002A2FB9"/>
    <w:rsid w:val="002B09F1"/>
    <w:rsid w:val="002C3D90"/>
    <w:rsid w:val="002E62DA"/>
    <w:rsid w:val="002F0E37"/>
    <w:rsid w:val="002F1A7D"/>
    <w:rsid w:val="002F22D6"/>
    <w:rsid w:val="00320DB0"/>
    <w:rsid w:val="003262D8"/>
    <w:rsid w:val="00333626"/>
    <w:rsid w:val="0035313A"/>
    <w:rsid w:val="003812E4"/>
    <w:rsid w:val="00383E0F"/>
    <w:rsid w:val="0039600F"/>
    <w:rsid w:val="003973D6"/>
    <w:rsid w:val="003A4B35"/>
    <w:rsid w:val="003B02CF"/>
    <w:rsid w:val="003C70A7"/>
    <w:rsid w:val="003E1F50"/>
    <w:rsid w:val="00412BD4"/>
    <w:rsid w:val="00420A97"/>
    <w:rsid w:val="00421F2D"/>
    <w:rsid w:val="00431ACF"/>
    <w:rsid w:val="004401DE"/>
    <w:rsid w:val="00445C8E"/>
    <w:rsid w:val="00452BF8"/>
    <w:rsid w:val="0049088D"/>
    <w:rsid w:val="004B6BD6"/>
    <w:rsid w:val="004D28A5"/>
    <w:rsid w:val="004F6593"/>
    <w:rsid w:val="00511AE7"/>
    <w:rsid w:val="00515CDF"/>
    <w:rsid w:val="00547AAB"/>
    <w:rsid w:val="00577901"/>
    <w:rsid w:val="00580B3A"/>
    <w:rsid w:val="00584043"/>
    <w:rsid w:val="005846EF"/>
    <w:rsid w:val="00590C18"/>
    <w:rsid w:val="005965E3"/>
    <w:rsid w:val="005A6454"/>
    <w:rsid w:val="005E1A24"/>
    <w:rsid w:val="005E6008"/>
    <w:rsid w:val="005F29F8"/>
    <w:rsid w:val="006179C2"/>
    <w:rsid w:val="00620CA5"/>
    <w:rsid w:val="006310FE"/>
    <w:rsid w:val="006352FA"/>
    <w:rsid w:val="00645535"/>
    <w:rsid w:val="00645C70"/>
    <w:rsid w:val="00653C00"/>
    <w:rsid w:val="00672501"/>
    <w:rsid w:val="00682C9A"/>
    <w:rsid w:val="0069213C"/>
    <w:rsid w:val="00693C27"/>
    <w:rsid w:val="006A2D07"/>
    <w:rsid w:val="006C4DCF"/>
    <w:rsid w:val="006D64DE"/>
    <w:rsid w:val="006E62A7"/>
    <w:rsid w:val="006F4E9C"/>
    <w:rsid w:val="00725372"/>
    <w:rsid w:val="00725D38"/>
    <w:rsid w:val="00732F08"/>
    <w:rsid w:val="00752D6E"/>
    <w:rsid w:val="0075554F"/>
    <w:rsid w:val="00761197"/>
    <w:rsid w:val="00762D5E"/>
    <w:rsid w:val="007657C2"/>
    <w:rsid w:val="0079019C"/>
    <w:rsid w:val="007A6C36"/>
    <w:rsid w:val="007B125D"/>
    <w:rsid w:val="007B3E60"/>
    <w:rsid w:val="007C2014"/>
    <w:rsid w:val="007D022A"/>
    <w:rsid w:val="007D07B9"/>
    <w:rsid w:val="007D7E1A"/>
    <w:rsid w:val="007E4C07"/>
    <w:rsid w:val="007F3EC3"/>
    <w:rsid w:val="008033B2"/>
    <w:rsid w:val="008221CB"/>
    <w:rsid w:val="008331B4"/>
    <w:rsid w:val="0084218C"/>
    <w:rsid w:val="00846ADC"/>
    <w:rsid w:val="00854AA5"/>
    <w:rsid w:val="008632C1"/>
    <w:rsid w:val="008721F9"/>
    <w:rsid w:val="00875251"/>
    <w:rsid w:val="008862FE"/>
    <w:rsid w:val="008E00E9"/>
    <w:rsid w:val="008E11DD"/>
    <w:rsid w:val="008E5F85"/>
    <w:rsid w:val="008E6C9D"/>
    <w:rsid w:val="008F16F6"/>
    <w:rsid w:val="0090341D"/>
    <w:rsid w:val="00917E46"/>
    <w:rsid w:val="00926DC8"/>
    <w:rsid w:val="00927542"/>
    <w:rsid w:val="009343F3"/>
    <w:rsid w:val="00936B3F"/>
    <w:rsid w:val="009428DF"/>
    <w:rsid w:val="009802B4"/>
    <w:rsid w:val="009915B7"/>
    <w:rsid w:val="00994AD5"/>
    <w:rsid w:val="009C5ECC"/>
    <w:rsid w:val="009D7BAF"/>
    <w:rsid w:val="009E0E3A"/>
    <w:rsid w:val="00A52DAF"/>
    <w:rsid w:val="00A84905"/>
    <w:rsid w:val="00AA4615"/>
    <w:rsid w:val="00AB14EC"/>
    <w:rsid w:val="00AB2E2E"/>
    <w:rsid w:val="00AB31E1"/>
    <w:rsid w:val="00AB4E40"/>
    <w:rsid w:val="00AB6961"/>
    <w:rsid w:val="00AF74AB"/>
    <w:rsid w:val="00B04ADA"/>
    <w:rsid w:val="00B06AFD"/>
    <w:rsid w:val="00B07101"/>
    <w:rsid w:val="00B13410"/>
    <w:rsid w:val="00B14AF3"/>
    <w:rsid w:val="00B20C2E"/>
    <w:rsid w:val="00B30C4F"/>
    <w:rsid w:val="00B30E09"/>
    <w:rsid w:val="00B30F48"/>
    <w:rsid w:val="00B32134"/>
    <w:rsid w:val="00B34A21"/>
    <w:rsid w:val="00B3564A"/>
    <w:rsid w:val="00B7248C"/>
    <w:rsid w:val="00B81FBD"/>
    <w:rsid w:val="00BC4713"/>
    <w:rsid w:val="00BD2080"/>
    <w:rsid w:val="00BE00BE"/>
    <w:rsid w:val="00BE5A2F"/>
    <w:rsid w:val="00BE7530"/>
    <w:rsid w:val="00C02466"/>
    <w:rsid w:val="00C03B02"/>
    <w:rsid w:val="00C05F32"/>
    <w:rsid w:val="00C06FEE"/>
    <w:rsid w:val="00C12552"/>
    <w:rsid w:val="00C13B11"/>
    <w:rsid w:val="00C40120"/>
    <w:rsid w:val="00C71663"/>
    <w:rsid w:val="00C74645"/>
    <w:rsid w:val="00C76FCA"/>
    <w:rsid w:val="00C919C4"/>
    <w:rsid w:val="00CA4588"/>
    <w:rsid w:val="00CA4EF9"/>
    <w:rsid w:val="00CB2D17"/>
    <w:rsid w:val="00CC636E"/>
    <w:rsid w:val="00CC788E"/>
    <w:rsid w:val="00CD71C4"/>
    <w:rsid w:val="00CE2F04"/>
    <w:rsid w:val="00CF52DD"/>
    <w:rsid w:val="00D040F7"/>
    <w:rsid w:val="00D103F2"/>
    <w:rsid w:val="00D25F38"/>
    <w:rsid w:val="00D31CDA"/>
    <w:rsid w:val="00D40366"/>
    <w:rsid w:val="00D47A89"/>
    <w:rsid w:val="00D546EA"/>
    <w:rsid w:val="00D56C18"/>
    <w:rsid w:val="00D57FE7"/>
    <w:rsid w:val="00D6490A"/>
    <w:rsid w:val="00D83A38"/>
    <w:rsid w:val="00D845B4"/>
    <w:rsid w:val="00D90022"/>
    <w:rsid w:val="00D94BA5"/>
    <w:rsid w:val="00D96C7C"/>
    <w:rsid w:val="00DB1B53"/>
    <w:rsid w:val="00DD2371"/>
    <w:rsid w:val="00DF713B"/>
    <w:rsid w:val="00E13EED"/>
    <w:rsid w:val="00E14A68"/>
    <w:rsid w:val="00E37410"/>
    <w:rsid w:val="00E40852"/>
    <w:rsid w:val="00E61B61"/>
    <w:rsid w:val="00E80BE1"/>
    <w:rsid w:val="00E952FA"/>
    <w:rsid w:val="00EA02A9"/>
    <w:rsid w:val="00EA1C68"/>
    <w:rsid w:val="00EA4E70"/>
    <w:rsid w:val="00EC7CAF"/>
    <w:rsid w:val="00EE00C8"/>
    <w:rsid w:val="00EE6659"/>
    <w:rsid w:val="00F036FA"/>
    <w:rsid w:val="00F202BD"/>
    <w:rsid w:val="00F22982"/>
    <w:rsid w:val="00F30257"/>
    <w:rsid w:val="00F40D58"/>
    <w:rsid w:val="00F46A28"/>
    <w:rsid w:val="00F47463"/>
    <w:rsid w:val="00F53507"/>
    <w:rsid w:val="00F65DC7"/>
    <w:rsid w:val="00F66FC7"/>
    <w:rsid w:val="00FB7773"/>
    <w:rsid w:val="00FC62A4"/>
    <w:rsid w:val="00FE73D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4AB"/>
  <w15:docId w15:val="{D72F9B4A-A332-49AD-850E-3D09D4C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6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1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5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5B7"/>
  </w:style>
  <w:style w:type="paragraph" w:styleId="Rodap">
    <w:name w:val="footer"/>
    <w:basedOn w:val="Normal"/>
    <w:link w:val="RodapChar"/>
    <w:uiPriority w:val="99"/>
    <w:unhideWhenUsed/>
    <w:rsid w:val="0099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5B7"/>
  </w:style>
  <w:style w:type="character" w:styleId="Hyperlink">
    <w:name w:val="Hyperlink"/>
    <w:rsid w:val="009915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915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15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15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15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15B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B2E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F66F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6FC7"/>
  </w:style>
  <w:style w:type="character" w:styleId="Nmerodelinha">
    <w:name w:val="line number"/>
    <w:basedOn w:val="Fontepargpadro"/>
    <w:uiPriority w:val="99"/>
    <w:semiHidden/>
    <w:unhideWhenUsed/>
    <w:rsid w:val="008E00E9"/>
  </w:style>
  <w:style w:type="character" w:customStyle="1" w:styleId="Ttulo1Char">
    <w:name w:val="Título 1 Char"/>
    <w:basedOn w:val="Fontepargpadro"/>
    <w:link w:val="Ttulo1"/>
    <w:uiPriority w:val="9"/>
    <w:rsid w:val="00CB2D1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label">
    <w:name w:val="label"/>
    <w:basedOn w:val="Fontepargpadro"/>
    <w:rsid w:val="00CB2D17"/>
  </w:style>
  <w:style w:type="character" w:customStyle="1" w:styleId="UnresolvedMention">
    <w:name w:val="Unresolved Mention"/>
    <w:basedOn w:val="Fontepargpadro"/>
    <w:uiPriority w:val="99"/>
    <w:semiHidden/>
    <w:unhideWhenUsed/>
    <w:rsid w:val="00FF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.ppga@contato.ufsc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knowledge.fao.org/handle/20.500.14283/cd3877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gagro.posgrad.ufsc.br/aclp-mestra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3AB9-8052-4012-AE1E-87F343ED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1430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UFSC389228</cp:lastModifiedBy>
  <cp:revision>2</cp:revision>
  <dcterms:created xsi:type="dcterms:W3CDTF">2025-05-15T17:06:00Z</dcterms:created>
  <dcterms:modified xsi:type="dcterms:W3CDTF">2025-05-15T17:06:00Z</dcterms:modified>
</cp:coreProperties>
</file>